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left="6237"/>
        <w:jc w:val="both"/>
        <w:rPr>
          <w:sz w:val="28"/>
          <w:szCs w:val="28"/>
        </w:rPr>
      </w:pP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</w:t>
      </w:r>
      <w:r w:rsidR="00B36084">
        <w:rPr>
          <w:sz w:val="28"/>
          <w:szCs w:val="28"/>
        </w:rPr>
        <w:t>часті) у Борщівській ОТГ на 20</w:t>
      </w:r>
      <w:r w:rsidR="00B36084" w:rsidRPr="00B36084">
        <w:rPr>
          <w:sz w:val="28"/>
          <w:szCs w:val="28"/>
        </w:rPr>
        <w:t>21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B36084" w:rsidRDefault="002F1806" w:rsidP="00B3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1.* Назва проекту (назва повинна коротко розкривати суть проекту та містити не більше 15 слів): </w:t>
      </w:r>
      <w:r w:rsidR="00B36084" w:rsidRPr="00B36084">
        <w:rPr>
          <w:b/>
          <w:sz w:val="28"/>
          <w:szCs w:val="28"/>
          <w:lang w:val="ru-RU"/>
        </w:rPr>
        <w:t>"Картинг - доступний кожному</w:t>
      </w:r>
      <w:r w:rsidR="00A0792E">
        <w:rPr>
          <w:b/>
          <w:sz w:val="28"/>
          <w:szCs w:val="28"/>
          <w:lang w:val="ru-RU"/>
        </w:rPr>
        <w:t>"</w:t>
      </w: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1851DF" w:rsidRPr="00B36084" w:rsidRDefault="00B36084">
      <w:pPr>
        <w:ind w:firstLine="708"/>
        <w:jc w:val="both"/>
        <w:rPr>
          <w:b/>
          <w:sz w:val="28"/>
          <w:szCs w:val="28"/>
        </w:rPr>
      </w:pPr>
      <w:r w:rsidRPr="00B36084">
        <w:rPr>
          <w:b/>
          <w:sz w:val="28"/>
          <w:szCs w:val="28"/>
        </w:rPr>
        <w:t>малий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3.*На території  якого населеного пункту Борщівської ОТГ планується реалізація проекту </w:t>
      </w:r>
      <w:r w:rsidR="00B36084" w:rsidRPr="00B36084">
        <w:rPr>
          <w:b/>
          <w:sz w:val="28"/>
          <w:szCs w:val="28"/>
        </w:rPr>
        <w:t>м. Борщів</w:t>
      </w:r>
      <w:r w:rsidR="00B36084">
        <w:rPr>
          <w:sz w:val="28"/>
          <w:szCs w:val="28"/>
        </w:rPr>
        <w:t>.</w:t>
      </w:r>
    </w:p>
    <w:p w:rsidR="001851DF" w:rsidRDefault="002F1806" w:rsidP="00B3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4.* Точна адреса та назва об’єкта, щодо якого планується реалізувати проект: </w:t>
      </w:r>
      <w:r w:rsidR="00B36084" w:rsidRPr="00B36084">
        <w:rPr>
          <w:b/>
          <w:sz w:val="28"/>
          <w:szCs w:val="28"/>
        </w:rPr>
        <w:t>Борщівська Станція Юних Техніків</w:t>
      </w:r>
    </w:p>
    <w:p w:rsidR="00B36084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обгрунтування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B51C10" w:rsidRPr="007B72A1" w:rsidRDefault="00B51C10">
      <w:pPr>
        <w:ind w:firstLine="708"/>
        <w:jc w:val="both"/>
        <w:rPr>
          <w:b/>
          <w:sz w:val="28"/>
          <w:szCs w:val="28"/>
        </w:rPr>
      </w:pPr>
      <w:r w:rsidRPr="007B72A1">
        <w:rPr>
          <w:b/>
          <w:sz w:val="28"/>
          <w:szCs w:val="28"/>
        </w:rPr>
        <w:t>Основною метою реалізації проекту є збільшення кількості дітей які можуть брати участь у заняттях картингом.</w:t>
      </w:r>
    </w:p>
    <w:p w:rsidR="00B51C10" w:rsidRPr="007B72A1" w:rsidRDefault="00B51C10">
      <w:pPr>
        <w:ind w:firstLine="708"/>
        <w:jc w:val="both"/>
        <w:rPr>
          <w:b/>
          <w:sz w:val="28"/>
          <w:szCs w:val="28"/>
        </w:rPr>
      </w:pPr>
      <w:r w:rsidRPr="007B72A1">
        <w:rPr>
          <w:b/>
          <w:sz w:val="28"/>
          <w:szCs w:val="28"/>
        </w:rPr>
        <w:t xml:space="preserve">Картинг - чудовий вид автоспорту, заняття яким цікаве не лише школярам, але й дорослим. В Борщівській Станції Юних Техніків гурток "Картингу" </w:t>
      </w:r>
      <w:r w:rsidR="00634848" w:rsidRPr="007B72A1">
        <w:rPr>
          <w:b/>
          <w:sz w:val="28"/>
          <w:szCs w:val="28"/>
        </w:rPr>
        <w:t>функціонує більше 5-ти років і викликає великий інтерес з боку школярів. Основною проблемою функціонування гуртка є велика вартість паливо-мастильних матеріалів та запасних частин, відсутність необхідного інструментального парку для ремонту та дефіцит коштів. Водночас основною метою функціонування гуртка є не скільки участь у змаганнях та завоювання призів чи нагород, скільки залучення якомога більшої кількості дітей до заняття технічними видами спорту, розширення вікового діапазону для заняття картингом, урізноманітнення</w:t>
      </w:r>
      <w:r w:rsidR="007B72A1" w:rsidRPr="007B72A1">
        <w:rPr>
          <w:b/>
          <w:sz w:val="28"/>
          <w:szCs w:val="28"/>
        </w:rPr>
        <w:t xml:space="preserve"> дозвілля молоді, спрямування її</w:t>
      </w:r>
      <w:r w:rsidR="00634848" w:rsidRPr="007B72A1">
        <w:rPr>
          <w:b/>
          <w:sz w:val="28"/>
          <w:szCs w:val="28"/>
        </w:rPr>
        <w:t xml:space="preserve"> </w:t>
      </w:r>
      <w:r w:rsidR="007B72A1" w:rsidRPr="007B72A1">
        <w:rPr>
          <w:b/>
          <w:sz w:val="28"/>
          <w:szCs w:val="28"/>
        </w:rPr>
        <w:t>розумового та фізичного потенціалу у правильне русло, заміщення негативних впливів оточуючого середовища на пропаганду здорового способу життя.</w:t>
      </w:r>
    </w:p>
    <w:p w:rsidR="007B72A1" w:rsidRDefault="007B72A1">
      <w:pPr>
        <w:ind w:firstLine="708"/>
        <w:jc w:val="both"/>
        <w:rPr>
          <w:b/>
          <w:sz w:val="28"/>
          <w:szCs w:val="28"/>
        </w:rPr>
      </w:pPr>
      <w:r w:rsidRPr="007B72A1">
        <w:rPr>
          <w:b/>
          <w:sz w:val="28"/>
          <w:szCs w:val="28"/>
        </w:rPr>
        <w:t xml:space="preserve">Щоб збільшити доступність картингу для молоді, потрібно зменшити витрати на обслуговування картів. Рішенням цієї проблеми є переобладнання картів з несправними двигунами на електротягу. Електромотори є більш </w:t>
      </w:r>
      <w:r w:rsidRPr="007B72A1">
        <w:rPr>
          <w:b/>
          <w:sz w:val="28"/>
          <w:szCs w:val="28"/>
        </w:rPr>
        <w:lastRenderedPageBreak/>
        <w:t>довговічними, зносостійкими у порівнянні із бензиновими, а кількість електроенергії яку вони споживають є незначною. Окрім того, вони не створюють шуму та не забруднюють навколишнє середовище шкідливими викидами, що є дуже важливим у контексті збереження природи рідного краю.</w:t>
      </w:r>
    </w:p>
    <w:p w:rsidR="00882CE9" w:rsidRDefault="00882C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пропонує закупити 3 комплекти для переобладнання.</w:t>
      </w:r>
    </w:p>
    <w:p w:rsidR="007B72A1" w:rsidRDefault="007B72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Реалізація даного проекту </w:t>
      </w:r>
      <w:r w:rsidR="00882CE9">
        <w:rPr>
          <w:b/>
          <w:sz w:val="28"/>
          <w:szCs w:val="28"/>
        </w:rPr>
        <w:t>зробить картинг доступним більшій кількості дітей, урізноманітнить їх дозвілля, відволіче від різноманітних некорисних гаджетів, допоможе гарно проводити час із друзями, популяризує електротранспорт та захист довкілля.</w:t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КОМЕРЦІЙНА ПРОПОЗИЦІЯ</w:t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148590</wp:posOffset>
            </wp:positionV>
            <wp:extent cx="5934075" cy="5648325"/>
            <wp:effectExtent l="19050" t="0" r="9525" b="0"/>
            <wp:wrapNone/>
            <wp:docPr id="1" name="Рисунок 1" descr="C:\Users\Користувач\Desktop\malyi pro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malyi proek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витрати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sectPr w:rsidR="00271310" w:rsidSect="00840936">
      <w:endnotePr>
        <w:numFmt w:val="decimal"/>
      </w:endnotePr>
      <w:pgSz w:w="11906" w:h="16838"/>
      <w:pgMar w:top="1134" w:right="567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BD" w:rsidRDefault="00A459BD" w:rsidP="001851DF">
      <w:r>
        <w:separator/>
      </w:r>
    </w:p>
  </w:endnote>
  <w:endnote w:type="continuationSeparator" w:id="1">
    <w:p w:rsidR="00A459BD" w:rsidRDefault="00A459BD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BD" w:rsidRDefault="00A459BD" w:rsidP="001851DF">
      <w:r>
        <w:separator/>
      </w:r>
    </w:p>
  </w:footnote>
  <w:footnote w:type="continuationSeparator" w:id="1">
    <w:p w:rsidR="00A459BD" w:rsidRDefault="00A459BD" w:rsidP="00185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283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37A48"/>
    <w:rsid w:val="00045F5D"/>
    <w:rsid w:val="000E61B8"/>
    <w:rsid w:val="00122AFA"/>
    <w:rsid w:val="001379D8"/>
    <w:rsid w:val="00172A0C"/>
    <w:rsid w:val="001851DF"/>
    <w:rsid w:val="001F16E7"/>
    <w:rsid w:val="00246C4C"/>
    <w:rsid w:val="00271310"/>
    <w:rsid w:val="002F1806"/>
    <w:rsid w:val="003209FE"/>
    <w:rsid w:val="003B3ED2"/>
    <w:rsid w:val="003F1D10"/>
    <w:rsid w:val="004231D5"/>
    <w:rsid w:val="004737CD"/>
    <w:rsid w:val="004B7EEF"/>
    <w:rsid w:val="004F5CE6"/>
    <w:rsid w:val="00510F77"/>
    <w:rsid w:val="005976C9"/>
    <w:rsid w:val="00634848"/>
    <w:rsid w:val="00660FDD"/>
    <w:rsid w:val="006D12F2"/>
    <w:rsid w:val="00731786"/>
    <w:rsid w:val="007B72A1"/>
    <w:rsid w:val="007E22FC"/>
    <w:rsid w:val="007F2196"/>
    <w:rsid w:val="00833A8D"/>
    <w:rsid w:val="00840936"/>
    <w:rsid w:val="00882CE9"/>
    <w:rsid w:val="008C3260"/>
    <w:rsid w:val="008E21CF"/>
    <w:rsid w:val="008F50AC"/>
    <w:rsid w:val="0098717D"/>
    <w:rsid w:val="00A00B29"/>
    <w:rsid w:val="00A0792E"/>
    <w:rsid w:val="00A459BD"/>
    <w:rsid w:val="00A538ED"/>
    <w:rsid w:val="00AB4669"/>
    <w:rsid w:val="00B0774D"/>
    <w:rsid w:val="00B36084"/>
    <w:rsid w:val="00B51C10"/>
    <w:rsid w:val="00D311D8"/>
    <w:rsid w:val="00DA4A42"/>
    <w:rsid w:val="00E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3</cp:revision>
  <cp:lastPrinted>2019-05-20T09:24:00Z</cp:lastPrinted>
  <dcterms:created xsi:type="dcterms:W3CDTF">2020-09-15T12:23:00Z</dcterms:created>
  <dcterms:modified xsi:type="dcterms:W3CDTF">2020-09-15T12:23:00Z</dcterms:modified>
</cp:coreProperties>
</file>